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58" w:rsidRDefault="009D1858" w:rsidP="009D1858">
      <w:pPr>
        <w:pStyle w:val="Normal1"/>
        <w:keepNext/>
        <w:pBdr>
          <w:top w:val="none" w:sz="0" w:space="0" w:color="000000"/>
          <w:left w:val="none" w:sz="0" w:space="0" w:color="000000"/>
          <w:bottom w:val="single" w:sz="12" w:space="1" w:color="000080"/>
          <w:right w:val="none" w:sz="0" w:space="0" w:color="000000"/>
          <w:between w:val="nil"/>
        </w:pBdr>
        <w:tabs>
          <w:tab w:val="left" w:pos="567"/>
          <w:tab w:val="left" w:pos="0"/>
        </w:tabs>
        <w:spacing w:before="57" w:after="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Αναλυτική Περιγραφή Φυσικού και Οικονομικού Αντικειμένου της Σύμβασης </w:t>
      </w:r>
    </w:p>
    <w:p w:rsidR="009D1858" w:rsidRDefault="009D1858" w:rsidP="009D1858">
      <w:pPr>
        <w:pStyle w:val="Normal1"/>
        <w:pBdr>
          <w:top w:val="nil"/>
          <w:left w:val="nil"/>
          <w:bottom w:val="nil"/>
          <w:right w:val="nil"/>
          <w:between w:val="nil"/>
        </w:pBdr>
        <w:spacing w:before="57" w:after="57"/>
        <w:jc w:val="both"/>
        <w:rPr>
          <w:rFonts w:ascii="Calibri" w:eastAsia="Calibri" w:hAnsi="Calibri" w:cs="Calibri"/>
          <w:color w:val="000000"/>
          <w:sz w:val="22"/>
          <w:szCs w:val="22"/>
        </w:rPr>
      </w:pPr>
    </w:p>
    <w:p w:rsidR="009D1858" w:rsidRDefault="009D1858" w:rsidP="009D1858">
      <w:pPr>
        <w:pStyle w:val="Normal1"/>
        <w:pBdr>
          <w:top w:val="nil"/>
          <w:left w:val="nil"/>
          <w:bottom w:val="nil"/>
          <w:right w:val="nil"/>
          <w:between w:val="nil"/>
        </w:pBdr>
        <w:spacing w:before="57" w:after="57"/>
        <w:jc w:val="both"/>
        <w:rPr>
          <w:rFonts w:ascii="Calibri" w:eastAsia="Calibri" w:hAnsi="Calibri" w:cs="Calibri"/>
          <w:color w:val="000000"/>
          <w:sz w:val="22"/>
          <w:szCs w:val="22"/>
        </w:rPr>
      </w:pPr>
      <w:r>
        <w:rPr>
          <w:rFonts w:ascii="Calibri" w:eastAsia="Calibri" w:hAnsi="Calibri" w:cs="Calibri"/>
          <w:b/>
          <w:color w:val="000000"/>
          <w:sz w:val="22"/>
          <w:szCs w:val="22"/>
        </w:rPr>
        <w:t>ΜΕΡΟΣ Α - ΠΕΡΙΓΡΑΦΗ ΦΥΣΙΚΟΥ ΑΝΤΙΚΕΙΜΕΝΟΥ ΤΗΣ ΣΥΜΒΑΣΗΣ</w:t>
      </w:r>
    </w:p>
    <w:p w:rsidR="009D1858" w:rsidRDefault="009D1858" w:rsidP="009D1858">
      <w:pPr>
        <w:pStyle w:val="Normal1"/>
        <w:pBdr>
          <w:top w:val="nil"/>
          <w:left w:val="nil"/>
          <w:bottom w:val="nil"/>
          <w:right w:val="nil"/>
          <w:between w:val="nil"/>
        </w:pBdr>
        <w:ind w:left="-57" w:right="-57"/>
        <w:jc w:val="both"/>
        <w:rPr>
          <w:rFonts w:ascii="Calibri" w:eastAsia="Calibri" w:hAnsi="Calibri" w:cs="Calibri"/>
          <w:color w:val="000000"/>
          <w:sz w:val="22"/>
          <w:szCs w:val="22"/>
        </w:rPr>
      </w:pPr>
      <w:r>
        <w:rPr>
          <w:rFonts w:ascii="Calibri" w:eastAsia="Calibri" w:hAnsi="Calibri" w:cs="Calibri"/>
          <w:color w:val="000000"/>
          <w:sz w:val="22"/>
          <w:szCs w:val="22"/>
        </w:rPr>
        <w:t xml:space="preserve">Η παρούσα συντάχθηκε και αφορά την προμήθεια υλικών για την αναβάθμιση των αθλητικών χώρων του Δήμου Φυλής. </w:t>
      </w:r>
    </w:p>
    <w:p w:rsidR="009D1858" w:rsidRPr="00B20E08" w:rsidRDefault="009D1858" w:rsidP="009D1858">
      <w:pPr>
        <w:pStyle w:val="Normal1"/>
        <w:pBdr>
          <w:top w:val="nil"/>
          <w:left w:val="nil"/>
          <w:bottom w:val="nil"/>
          <w:right w:val="nil"/>
          <w:between w:val="nil"/>
        </w:pBdr>
        <w:ind w:left="-57" w:right="-57"/>
        <w:rPr>
          <w:rFonts w:ascii="Calibri" w:eastAsia="Calibri" w:hAnsi="Calibri" w:cs="Calibri"/>
          <w:color w:val="000000"/>
          <w:sz w:val="22"/>
          <w:szCs w:val="22"/>
        </w:rPr>
      </w:pPr>
      <w:r w:rsidRPr="00B20E08">
        <w:rPr>
          <w:rFonts w:ascii="Calibri" w:eastAsia="Calibri" w:hAnsi="Calibri" w:cs="Calibri"/>
          <w:color w:val="000000"/>
          <w:sz w:val="22"/>
          <w:szCs w:val="22"/>
        </w:rPr>
        <w:t xml:space="preserve">Συγκεκριμένα με την παρούσα μελέτη ο Δήμος θα προμηθευτεί υλικά προκειμένου να τα τοποθετήσει στους αθλητικούς χώρους και ειδικότερα στα γηπεδάκια δίπλα από το Κολυμβητήριο, στο Πάρκο Πόλης, στη Δ.Ε Άνω Λιοσίων, στο γήπεδο Πανοράματος στη Δ.Ε Άνω Λιοσίων και στο γήπεδο Θρασυβούλου στη Δ.Ε Φυλής, τα οποία σκοπό έχουν να τους αναβαθμίσουν και να τους καταστήσουν ασφαλείς και σύγχρονους. </w:t>
      </w:r>
    </w:p>
    <w:p w:rsidR="009D1858" w:rsidRDefault="009D1858" w:rsidP="009D1858">
      <w:pPr>
        <w:pStyle w:val="Normal1"/>
        <w:pBdr>
          <w:top w:val="nil"/>
          <w:left w:val="nil"/>
          <w:bottom w:val="nil"/>
          <w:right w:val="nil"/>
          <w:between w:val="nil"/>
        </w:pBdr>
        <w:ind w:left="-57" w:right="-57"/>
        <w:jc w:val="both"/>
        <w:rPr>
          <w:rFonts w:ascii="Calibri" w:eastAsia="Calibri" w:hAnsi="Calibri" w:cs="Calibri"/>
          <w:color w:val="000000"/>
          <w:sz w:val="22"/>
          <w:szCs w:val="22"/>
        </w:rPr>
      </w:pPr>
    </w:p>
    <w:p w:rsidR="009D1858" w:rsidRDefault="009D1858" w:rsidP="009D1858">
      <w:pPr>
        <w:pStyle w:val="Normal1"/>
        <w:pBdr>
          <w:top w:val="nil"/>
          <w:left w:val="nil"/>
          <w:bottom w:val="nil"/>
          <w:right w:val="nil"/>
          <w:between w:val="nil"/>
        </w:pBdr>
        <w:ind w:right="-57"/>
        <w:jc w:val="both"/>
        <w:rPr>
          <w:rFonts w:ascii="Calibri" w:eastAsia="Calibri" w:hAnsi="Calibri" w:cs="Calibri"/>
          <w:color w:val="000000"/>
          <w:sz w:val="22"/>
          <w:szCs w:val="22"/>
        </w:rPr>
      </w:pPr>
      <w:r>
        <w:rPr>
          <w:rFonts w:ascii="Calibri" w:eastAsia="Calibri" w:hAnsi="Calibri" w:cs="Calibri"/>
          <w:color w:val="000000"/>
          <w:sz w:val="22"/>
          <w:szCs w:val="22"/>
        </w:rPr>
        <w:t>Τα υλικά που θα προμηθευτεί ο Δήμος θα είναι σύμφωνα με τις τεχνικές προδιαγραφές και έχουν επιλεγεί με τέτοιο τρόπο, ώστε κατόπιν της τοποθέτησής τους, οι χώροι να είναι λειτουργικοί και ασφαλείς.</w:t>
      </w:r>
    </w:p>
    <w:p w:rsidR="009D1858" w:rsidRDefault="009D1858" w:rsidP="009D1858">
      <w:pPr>
        <w:pStyle w:val="Normal1"/>
        <w:pBdr>
          <w:top w:val="nil"/>
          <w:left w:val="nil"/>
          <w:bottom w:val="nil"/>
          <w:right w:val="nil"/>
          <w:between w:val="nil"/>
        </w:pBdr>
        <w:jc w:val="both"/>
        <w:rPr>
          <w:rFonts w:ascii="Calibri" w:eastAsia="Calibri" w:hAnsi="Calibri" w:cs="Calibri"/>
          <w:color w:val="000000"/>
          <w:sz w:val="22"/>
          <w:szCs w:val="22"/>
        </w:rPr>
      </w:pPr>
    </w:p>
    <w:p w:rsidR="009D1858" w:rsidRDefault="009D1858" w:rsidP="009D1858">
      <w:pPr>
        <w:pStyle w:val="Normal1"/>
        <w:pBdr>
          <w:top w:val="nil"/>
          <w:left w:val="nil"/>
          <w:bottom w:val="nil"/>
          <w:right w:val="nil"/>
          <w:between w:val="nil"/>
        </w:pBdr>
        <w:ind w:left="-57" w:right="-57"/>
        <w:jc w:val="both"/>
        <w:rPr>
          <w:rFonts w:ascii="Calibri" w:eastAsia="Calibri" w:hAnsi="Calibri" w:cs="Calibri"/>
          <w:color w:val="000000"/>
          <w:sz w:val="22"/>
          <w:szCs w:val="22"/>
        </w:rPr>
      </w:pPr>
      <w:r>
        <w:rPr>
          <w:rFonts w:ascii="Calibri" w:eastAsia="Calibri" w:hAnsi="Calibri" w:cs="Calibri"/>
          <w:color w:val="000000"/>
          <w:sz w:val="22"/>
          <w:szCs w:val="22"/>
        </w:rPr>
        <w:t>Η προμήθεια κατατάσσεται στους ακόλουθους κωδικούς του Κοινού Λεξιλογίου δημοσίων συμβάσεων (CPV) : 37400000-2 (Αθλητικά είδη και εξοπλισμός), 37450000-7 (Εξοπλισμός υπαίθριων αθλημάτων και αθλημάτων γηπέδου) και 43323000-3 (Εξοπλισμός άρδευσης)</w:t>
      </w:r>
    </w:p>
    <w:p w:rsidR="009D1858" w:rsidRDefault="009D1858" w:rsidP="009D1858">
      <w:pPr>
        <w:pStyle w:val="Normal1"/>
        <w:pBdr>
          <w:top w:val="nil"/>
          <w:left w:val="nil"/>
          <w:bottom w:val="nil"/>
          <w:right w:val="nil"/>
          <w:between w:val="nil"/>
        </w:pBdr>
        <w:spacing w:before="87"/>
        <w:ind w:right="356"/>
        <w:jc w:val="both"/>
        <w:rPr>
          <w:rFonts w:ascii="Calibri" w:eastAsia="Calibri" w:hAnsi="Calibri" w:cs="Calibri"/>
          <w:color w:val="000000"/>
          <w:sz w:val="22"/>
          <w:szCs w:val="22"/>
        </w:rPr>
      </w:pPr>
      <w:r>
        <w:rPr>
          <w:rFonts w:ascii="Calibri" w:eastAsia="Calibri" w:hAnsi="Calibri" w:cs="Calibri"/>
          <w:color w:val="000000"/>
          <w:sz w:val="22"/>
          <w:szCs w:val="22"/>
        </w:rPr>
        <w:t>Διάρκεια σύμβασης-Χρόνοι παράδοσης</w:t>
      </w:r>
    </w:p>
    <w:p w:rsidR="009D1858" w:rsidRDefault="009D1858" w:rsidP="009D1858">
      <w:pPr>
        <w:pStyle w:val="Normal1"/>
        <w:pBdr>
          <w:top w:val="nil"/>
          <w:left w:val="nil"/>
          <w:bottom w:val="nil"/>
          <w:right w:val="nil"/>
          <w:between w:val="nil"/>
        </w:pBdr>
        <w:spacing w:before="79" w:after="200"/>
        <w:ind w:right="-1"/>
        <w:jc w:val="both"/>
        <w:rPr>
          <w:rFonts w:ascii="Calibri" w:eastAsia="Calibri" w:hAnsi="Calibri" w:cs="Calibri"/>
          <w:color w:val="000000"/>
          <w:sz w:val="22"/>
          <w:szCs w:val="22"/>
          <w:u w:val="single"/>
        </w:rPr>
      </w:pPr>
      <w:r>
        <w:rPr>
          <w:rFonts w:ascii="Calibri" w:eastAsia="Calibri" w:hAnsi="Calibri" w:cs="Calibri"/>
          <w:color w:val="000000"/>
          <w:sz w:val="22"/>
          <w:szCs w:val="22"/>
        </w:rPr>
        <w:t xml:space="preserve">Η σύμβαση  τίθεται σε ισχύ από  την ημερομηνία  υπογραφής του σχετικού συμφωνητικού και η διάρκεια  ισχύος της είναι σε  </w:t>
      </w:r>
      <w:r>
        <w:rPr>
          <w:rFonts w:ascii="Calibri" w:eastAsia="Calibri" w:hAnsi="Calibri" w:cs="Calibri"/>
          <w:b/>
          <w:color w:val="000000"/>
          <w:sz w:val="22"/>
          <w:szCs w:val="22"/>
          <w:u w:val="single"/>
        </w:rPr>
        <w:t>εξήντα (60) ημερολογιακές ημέρες, αρχόμενης από την υπογραφή της σύμβασης.</w:t>
      </w:r>
    </w:p>
    <w:p w:rsidR="009D1858" w:rsidRDefault="009D1858" w:rsidP="009D1858">
      <w:pPr>
        <w:pStyle w:val="Normal1"/>
        <w:pBdr>
          <w:top w:val="nil"/>
          <w:left w:val="nil"/>
          <w:bottom w:val="nil"/>
          <w:right w:val="nil"/>
          <w:between w:val="nil"/>
        </w:pBdr>
        <w:spacing w:before="87"/>
        <w:ind w:right="356"/>
        <w:jc w:val="both"/>
        <w:rPr>
          <w:rFonts w:ascii="Calibri" w:eastAsia="Calibri" w:hAnsi="Calibri" w:cs="Calibri"/>
          <w:color w:val="000000"/>
          <w:sz w:val="22"/>
          <w:szCs w:val="22"/>
        </w:rPr>
      </w:pPr>
    </w:p>
    <w:p w:rsidR="009D1858" w:rsidRDefault="009D1858" w:rsidP="009D1858">
      <w:pPr>
        <w:pStyle w:val="Normal1"/>
        <w:pBdr>
          <w:top w:val="nil"/>
          <w:left w:val="nil"/>
          <w:bottom w:val="nil"/>
          <w:right w:val="nil"/>
          <w:between w:val="nil"/>
        </w:pBdr>
        <w:spacing w:before="57" w:after="57"/>
        <w:jc w:val="both"/>
        <w:rPr>
          <w:rFonts w:ascii="Calibri" w:eastAsia="Calibri" w:hAnsi="Calibri" w:cs="Calibri"/>
          <w:color w:val="000000"/>
          <w:sz w:val="22"/>
          <w:szCs w:val="22"/>
        </w:rPr>
      </w:pPr>
      <w:r>
        <w:rPr>
          <w:rFonts w:ascii="Calibri" w:eastAsia="Calibri" w:hAnsi="Calibri" w:cs="Calibri"/>
          <w:b/>
          <w:color w:val="000000"/>
          <w:sz w:val="22"/>
          <w:szCs w:val="22"/>
        </w:rPr>
        <w:t>ΜΕΡΟΣ Β- ΟΙΚΟΝΟΜΙΚΟ ΑΝΤΙΚΕΙΜΕΝΟ ΤΗΣ ΣΥΜΒΑΣΗΣ</w:t>
      </w:r>
    </w:p>
    <w:p w:rsidR="009D1858" w:rsidRDefault="009D1858" w:rsidP="009D1858">
      <w:pPr>
        <w:pStyle w:val="Normal1"/>
        <w:pBdr>
          <w:top w:val="nil"/>
          <w:left w:val="nil"/>
          <w:bottom w:val="nil"/>
          <w:right w:val="nil"/>
          <w:between w:val="nil"/>
        </w:pBdr>
        <w:spacing w:before="87"/>
        <w:ind w:right="356"/>
        <w:jc w:val="both"/>
        <w:rPr>
          <w:rFonts w:ascii="Calibri" w:eastAsia="Calibri" w:hAnsi="Calibri" w:cs="Calibri"/>
          <w:color w:val="000000"/>
          <w:sz w:val="22"/>
          <w:szCs w:val="22"/>
        </w:rPr>
      </w:pPr>
      <w:r>
        <w:rPr>
          <w:rFonts w:ascii="Calibri" w:eastAsia="Calibri" w:hAnsi="Calibri" w:cs="Calibri"/>
          <w:color w:val="000000"/>
          <w:sz w:val="22"/>
          <w:szCs w:val="22"/>
        </w:rPr>
        <w:t>Χρηματοδότηση από ιδίους  πόρους  του Δήμου Φυλής</w:t>
      </w:r>
    </w:p>
    <w:p w:rsidR="009D1858" w:rsidRDefault="009D1858" w:rsidP="009D1858">
      <w:pPr>
        <w:pStyle w:val="Normal1"/>
        <w:pBdr>
          <w:top w:val="nil"/>
          <w:left w:val="nil"/>
          <w:bottom w:val="nil"/>
          <w:right w:val="nil"/>
          <w:between w:val="nil"/>
        </w:pBdr>
        <w:spacing w:before="57" w:after="57"/>
        <w:jc w:val="both"/>
        <w:rPr>
          <w:rFonts w:ascii="Calibri" w:eastAsia="Calibri" w:hAnsi="Calibri" w:cs="Calibri"/>
          <w:color w:val="000000"/>
          <w:sz w:val="22"/>
          <w:szCs w:val="22"/>
        </w:rPr>
      </w:pPr>
      <w:r>
        <w:rPr>
          <w:rFonts w:ascii="Calibri" w:eastAsia="Calibri" w:hAnsi="Calibri" w:cs="Calibri"/>
          <w:color w:val="000000"/>
          <w:sz w:val="22"/>
          <w:szCs w:val="22"/>
        </w:rPr>
        <w:t>Εκτιμώμενη αξία σύμβασης σε ευρώ, χωρίς ΦΠΑ 24%  : 60.000,00 €</w:t>
      </w:r>
    </w:p>
    <w:p w:rsidR="009D1858" w:rsidRDefault="009D1858" w:rsidP="009D1858">
      <w:pPr>
        <w:pStyle w:val="Normal1"/>
        <w:pBdr>
          <w:top w:val="nil"/>
          <w:left w:val="nil"/>
          <w:bottom w:val="nil"/>
          <w:right w:val="nil"/>
          <w:between w:val="nil"/>
        </w:pBdr>
        <w:spacing w:before="57" w:after="57"/>
        <w:jc w:val="both"/>
        <w:rPr>
          <w:rFonts w:ascii="Calibri" w:eastAsia="Calibri" w:hAnsi="Calibri" w:cs="Calibri"/>
          <w:color w:val="000000"/>
          <w:sz w:val="22"/>
          <w:szCs w:val="22"/>
        </w:rPr>
      </w:pPr>
    </w:p>
    <w:p w:rsidR="009D1858" w:rsidRDefault="009D1858" w:rsidP="009D1858">
      <w:pPr>
        <w:pStyle w:val="Normal1"/>
        <w:pBdr>
          <w:top w:val="nil"/>
          <w:left w:val="nil"/>
          <w:bottom w:val="nil"/>
          <w:right w:val="nil"/>
          <w:between w:val="nil"/>
        </w:pBdr>
        <w:spacing w:before="57" w:after="57"/>
        <w:jc w:val="both"/>
        <w:rPr>
          <w:rFonts w:ascii="Calibri" w:eastAsia="Calibri" w:hAnsi="Calibri" w:cs="Calibri"/>
          <w:color w:val="000000"/>
          <w:sz w:val="22"/>
          <w:szCs w:val="22"/>
        </w:rPr>
      </w:pPr>
    </w:p>
    <w:p w:rsidR="009D1858" w:rsidRDefault="009D1858" w:rsidP="009D1858">
      <w:pPr>
        <w:pStyle w:val="Normal1"/>
        <w:pBdr>
          <w:top w:val="nil"/>
          <w:left w:val="nil"/>
          <w:bottom w:val="nil"/>
          <w:right w:val="nil"/>
          <w:between w:val="nil"/>
        </w:pBdr>
        <w:spacing w:before="57" w:after="57"/>
        <w:jc w:val="both"/>
        <w:rPr>
          <w:rFonts w:ascii="Calibri" w:eastAsia="Calibri" w:hAnsi="Calibri" w:cs="Calibri"/>
          <w:color w:val="000000"/>
          <w:sz w:val="22"/>
          <w:szCs w:val="22"/>
        </w:rPr>
      </w:pPr>
      <w:bookmarkStart w:id="0" w:name="_25b2l0r" w:colFirst="0" w:colLast="0"/>
      <w:bookmarkEnd w:id="0"/>
    </w:p>
    <w:p w:rsidR="009D1858" w:rsidRDefault="009D1858" w:rsidP="009D1858">
      <w:pPr>
        <w:pStyle w:val="Normal1"/>
        <w:keepNext/>
        <w:pBdr>
          <w:top w:val="none" w:sz="0" w:space="0" w:color="000000"/>
          <w:left w:val="none" w:sz="0" w:space="0" w:color="000000"/>
          <w:bottom w:val="single" w:sz="12" w:space="1" w:color="000080"/>
          <w:right w:val="none" w:sz="0" w:space="0" w:color="000000"/>
          <w:between w:val="nil"/>
        </w:pBdr>
        <w:tabs>
          <w:tab w:val="left" w:pos="567"/>
          <w:tab w:val="left" w:pos="0"/>
        </w:tabs>
        <w:spacing w:before="57" w:after="57"/>
        <w:jc w:val="both"/>
        <w:rPr>
          <w:rFonts w:ascii="Calibri" w:eastAsia="Calibri" w:hAnsi="Calibri" w:cs="Calibri"/>
          <w:b/>
          <w:color w:val="000000"/>
          <w:sz w:val="22"/>
          <w:szCs w:val="22"/>
        </w:rPr>
      </w:pPr>
    </w:p>
    <w:p w:rsidR="009D1858" w:rsidRDefault="009D1858" w:rsidP="009D1858">
      <w:pPr>
        <w:pStyle w:val="Normal1"/>
        <w:keepNext/>
        <w:pBdr>
          <w:top w:val="none" w:sz="0" w:space="0" w:color="000000"/>
          <w:left w:val="none" w:sz="0" w:space="0" w:color="000000"/>
          <w:bottom w:val="single" w:sz="12" w:space="1" w:color="000080"/>
          <w:right w:val="none" w:sz="0" w:space="0" w:color="000000"/>
          <w:between w:val="nil"/>
        </w:pBdr>
        <w:tabs>
          <w:tab w:val="left" w:pos="567"/>
          <w:tab w:val="left" w:pos="0"/>
        </w:tabs>
        <w:spacing w:before="57" w:after="57"/>
        <w:jc w:val="both"/>
        <w:rPr>
          <w:rFonts w:ascii="Calibri" w:eastAsia="Calibri" w:hAnsi="Calibri" w:cs="Calibri"/>
          <w:b/>
          <w:color w:val="000000"/>
          <w:sz w:val="22"/>
          <w:szCs w:val="22"/>
        </w:rPr>
      </w:pPr>
      <w:bookmarkStart w:id="1" w:name="_kgcv8k" w:colFirst="0" w:colLast="0"/>
      <w:bookmarkEnd w:id="1"/>
      <w:r>
        <w:rPr>
          <w:rFonts w:ascii="Calibri" w:eastAsia="Calibri" w:hAnsi="Calibri" w:cs="Calibri"/>
          <w:b/>
          <w:color w:val="000000"/>
          <w:sz w:val="22"/>
          <w:szCs w:val="22"/>
        </w:rPr>
        <w:t xml:space="preserve">Ενδεικτικός Προϋπολογισμός </w:t>
      </w:r>
    </w:p>
    <w:p w:rsidR="009D1858" w:rsidRDefault="009D1858" w:rsidP="009D1858">
      <w:pPr>
        <w:pStyle w:val="Normal1"/>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Ο ενδεικτικός προϋπολογισμός της προμήθειας ανέρχεται στο ποσόν των 74.400,00€ συμπεριλαμβανομένου του ΦΠΑ.  Η προμήθεια  θα καλυφθεί από ίδιους πόρους του Δήμου. Η προμήθεια έχει ενταχθεί στον προϋπολογισμό του έτους 2020 και θα βαρύνει τον κωδικό εξόδων Κ.Α. 15-7131.10007 με το αντίστοιχο ποσό όπως αναφέρεται παρακάτω:</w:t>
      </w:r>
    </w:p>
    <w:p w:rsidR="009D1858" w:rsidRDefault="009D1858" w:rsidP="009D1858">
      <w:pPr>
        <w:pStyle w:val="Normal1"/>
        <w:pBdr>
          <w:top w:val="nil"/>
          <w:left w:val="nil"/>
          <w:bottom w:val="nil"/>
          <w:right w:val="nil"/>
          <w:between w:val="nil"/>
        </w:pBdr>
        <w:spacing w:before="16"/>
        <w:ind w:left="2268" w:right="-78" w:hanging="1632"/>
        <w:jc w:val="center"/>
        <w:rPr>
          <w:rFonts w:ascii="Calibri" w:eastAsia="Calibri" w:hAnsi="Calibri" w:cs="Calibri"/>
          <w:color w:val="000000"/>
          <w:sz w:val="22"/>
          <w:szCs w:val="22"/>
        </w:rPr>
      </w:pPr>
      <w:r>
        <w:rPr>
          <w:rFonts w:ascii="Calibri" w:eastAsia="Calibri" w:hAnsi="Calibri" w:cs="Calibri"/>
          <w:b/>
          <w:color w:val="000000"/>
          <w:sz w:val="22"/>
          <w:szCs w:val="22"/>
        </w:rPr>
        <w:t>ΕΝΔΕΙΚΤΙΚΟΣ ΠΡΟΥΠΟΛΟΓΙΣΜΟΣ</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240"/>
        <w:gridCol w:w="1482"/>
        <w:gridCol w:w="1497"/>
        <w:gridCol w:w="1960"/>
        <w:gridCol w:w="1432"/>
      </w:tblGrid>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Α/Α</w:t>
            </w:r>
          </w:p>
        </w:tc>
        <w:tc>
          <w:tcPr>
            <w:tcW w:w="324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ΠΕΡΙΓΡΑΦΗ</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ΜΟΝΑΔΑ ΜΕΤΡΗΣΗΣ</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ΠΟΣΟΤΗΤΑ</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ΕΝΔ.ΤΙΜΗ ΜΟΝΑΔΑΣ (€)</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ΣΥΝΟΛΟ</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ΜΕΓΑΛΗΣ ΦΟΡΗΤΗΣ ΕΣΤΙΑΣ</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ΤΕΜ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1.800,00  </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3.600,00 </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ΠΑΓΚΟΥ ΑΛΟΥΜΙΝΙΟΥ ΜΗΚΟΥΣ 2Μ</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ΤΕΜ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1.100,00 </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6.600,00 </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3</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ΜΙΚΡΗΣ ΦΟΡΗΤΗΣ ΕΣΤΙΑΣ</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ΤΕΜ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760,00  </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2.280,00 </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ΚΙΝΗΤΗΣ ΜΠΑΣΚΕΤΑΣ ΡΥΘΜΙΖΟΜΕΝΗΣ</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ΖΕΥΓΟΣ</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380,00 </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1.520,00 </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ΠΡΟΣΤΑΤΕΥΤΙΚΟΥ ΜΠΑΣΚΕΤΑΣ</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ΤΕΜ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220,00 </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880,00 </w:t>
            </w:r>
          </w:p>
        </w:tc>
      </w:tr>
      <w:tr w:rsidR="009D1858" w:rsidTr="00ED07C2">
        <w:trPr>
          <w:trHeight w:val="3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ΠΡΟΜΗΘΕΙΑ ΔΙΧΤΥ ΠΕΡΙΦΡΑΞΗΣ </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Μ2</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500</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3,00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1.500,00</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7</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ΔΙΧΤΥ ΓΙΑ ΤΕΡΜΑΤΑ, ΔΙΑΣΤΑΣΕΩΝ 2,25Χ5,25m</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ΖΕΥΓΟΣ </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184,00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184,00</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8</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ΔΙΧΤΥ ΓΙΑ ΤΕΡΜΑΤΑ, ΔΙΑΣΤΑΣΕΩΝ 2,00Χ4,00m</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ΖΕΥΓΟΣ </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132,00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132,00</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9</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ΠΟΡΤΑΣ</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ΤΕΜ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360,00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2.160,00</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10</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ΣΥΡΜΑΤΟΠΛΕΓΜΑΤΟΣ ΠΕΡΙΦΡΑΞΗΣ</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Μ2</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790</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24,60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19.434,00</w:t>
            </w:r>
          </w:p>
        </w:tc>
      </w:tr>
      <w:tr w:rsidR="009D1858" w:rsidTr="00ED07C2">
        <w:trPr>
          <w:trHeight w:val="6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11</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ΣΥΣΤΗΜΑΤΟΣ ΑΠΟΣΚΛΗΡΥΝΣΗΣ ΝΕΡΟΥ</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ΤΕΜ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2.800,00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8.400,00</w:t>
            </w:r>
          </w:p>
        </w:tc>
      </w:tr>
      <w:tr w:rsidR="009D1858" w:rsidTr="00ED07C2">
        <w:trPr>
          <w:trHeight w:val="3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12</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ΣΧΑΡΑΣ ΚΑΝΑΛΙΩΝ</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210</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31,00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6.510,00</w:t>
            </w:r>
          </w:p>
        </w:tc>
      </w:tr>
      <w:tr w:rsidR="009D1858" w:rsidTr="00ED07C2">
        <w:trPr>
          <w:trHeight w:val="12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13</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ΑΥΤΟΑΝΥΨΟΥΜΕΝΟΥ ΕΚΤΟΞΕΥΤΗΡΑ ΠΛΗΡΟΥΣ ΚΥΚΛΟΥ  ΑΚΤΙΝΑΣ 21 ΕΩΣ 30Μ</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ΤΕΜ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850,00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2.550,00</w:t>
            </w:r>
          </w:p>
        </w:tc>
      </w:tr>
      <w:tr w:rsidR="009D1858" w:rsidTr="00ED07C2">
        <w:trPr>
          <w:trHeight w:val="12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14</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ΑΥΤΟΑΝΥΨΟΥΜΕΝΟΥ ΕΚΤΟΞΕΥΤΗΡΑ ΡΥΘΜΙΖΟΜΕΝΟΥ ΤΟΜΕΑ  ΑΚΤΙΝΑΣ 21 ΕΩΣ 30Μ</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ΤΕΜ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680,00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2.040,00</w:t>
            </w:r>
          </w:p>
        </w:tc>
      </w:tr>
      <w:tr w:rsidR="009D1858" w:rsidTr="00ED07C2">
        <w:trPr>
          <w:trHeight w:val="12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15</w:t>
            </w:r>
          </w:p>
        </w:tc>
        <w:tc>
          <w:tcPr>
            <w:tcW w:w="3240" w:type="dxa"/>
            <w:vAlign w:val="center"/>
          </w:tcPr>
          <w:p w:rsidR="009D1858" w:rsidRDefault="009D1858" w:rsidP="00ED07C2">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ΠΡΟΜΗΘΕΙΑ ΗΛΕΚΤΡΟΒΑΛΒΙΔΑΣ ΜΕ ΤΟ ΑΝΤΙΣΤΟΙΧΟ ΠΗΝΙΟ</w:t>
            </w:r>
          </w:p>
        </w:tc>
        <w:tc>
          <w:tcPr>
            <w:tcW w:w="148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ΤΕΜ</w:t>
            </w:r>
          </w:p>
        </w:tc>
        <w:tc>
          <w:tcPr>
            <w:tcW w:w="1497"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17</w:t>
            </w:r>
          </w:p>
        </w:tc>
        <w:tc>
          <w:tcPr>
            <w:tcW w:w="196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130,00</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2.210,00</w:t>
            </w:r>
          </w:p>
        </w:tc>
      </w:tr>
      <w:tr w:rsidR="009D1858" w:rsidTr="00ED07C2">
        <w:trPr>
          <w:trHeight w:val="3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p>
        </w:tc>
        <w:tc>
          <w:tcPr>
            <w:tcW w:w="324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rPr>
            </w:pPr>
          </w:p>
        </w:tc>
        <w:tc>
          <w:tcPr>
            <w:tcW w:w="1482" w:type="dxa"/>
          </w:tcPr>
          <w:p w:rsidR="009D1858" w:rsidRDefault="009D1858" w:rsidP="00ED07C2">
            <w:pPr>
              <w:pStyle w:val="Normal1"/>
              <w:pBdr>
                <w:top w:val="nil"/>
                <w:left w:val="nil"/>
                <w:bottom w:val="nil"/>
                <w:right w:val="nil"/>
                <w:between w:val="nil"/>
              </w:pBdr>
              <w:jc w:val="both"/>
              <w:rPr>
                <w:rFonts w:ascii="Calibri" w:eastAsia="Calibri" w:hAnsi="Calibri" w:cs="Calibri"/>
                <w:color w:val="000000"/>
              </w:rPr>
            </w:pPr>
          </w:p>
        </w:tc>
        <w:tc>
          <w:tcPr>
            <w:tcW w:w="1497" w:type="dxa"/>
          </w:tcPr>
          <w:p w:rsidR="009D1858" w:rsidRDefault="009D1858" w:rsidP="00ED07C2">
            <w:pPr>
              <w:pStyle w:val="Normal1"/>
              <w:pBdr>
                <w:top w:val="nil"/>
                <w:left w:val="nil"/>
                <w:bottom w:val="nil"/>
                <w:right w:val="nil"/>
                <w:between w:val="nil"/>
              </w:pBdr>
              <w:jc w:val="both"/>
              <w:rPr>
                <w:rFonts w:ascii="Calibri" w:eastAsia="Calibri" w:hAnsi="Calibri" w:cs="Calibri"/>
                <w:color w:val="000000"/>
              </w:rPr>
            </w:pPr>
          </w:p>
        </w:tc>
        <w:tc>
          <w:tcPr>
            <w:tcW w:w="1960" w:type="dxa"/>
          </w:tcPr>
          <w:p w:rsidR="009D1858" w:rsidRDefault="009D1858" w:rsidP="00ED07C2">
            <w:pPr>
              <w:pStyle w:val="Normal1"/>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rPr>
              <w:t>ΣΥΝΟΛΟ:</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60.000,00 €</w:t>
            </w:r>
          </w:p>
        </w:tc>
      </w:tr>
      <w:tr w:rsidR="009D1858" w:rsidTr="00ED07C2">
        <w:trPr>
          <w:trHeight w:val="3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p>
        </w:tc>
        <w:tc>
          <w:tcPr>
            <w:tcW w:w="324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rPr>
            </w:pPr>
          </w:p>
        </w:tc>
        <w:tc>
          <w:tcPr>
            <w:tcW w:w="1482" w:type="dxa"/>
          </w:tcPr>
          <w:p w:rsidR="009D1858" w:rsidRDefault="009D1858" w:rsidP="00ED07C2">
            <w:pPr>
              <w:pStyle w:val="Normal1"/>
              <w:pBdr>
                <w:top w:val="nil"/>
                <w:left w:val="nil"/>
                <w:bottom w:val="nil"/>
                <w:right w:val="nil"/>
                <w:between w:val="nil"/>
              </w:pBdr>
              <w:jc w:val="both"/>
              <w:rPr>
                <w:rFonts w:ascii="Calibri" w:eastAsia="Calibri" w:hAnsi="Calibri" w:cs="Calibri"/>
                <w:color w:val="000000"/>
              </w:rPr>
            </w:pPr>
          </w:p>
        </w:tc>
        <w:tc>
          <w:tcPr>
            <w:tcW w:w="1497" w:type="dxa"/>
          </w:tcPr>
          <w:p w:rsidR="009D1858" w:rsidRDefault="009D1858" w:rsidP="00ED07C2">
            <w:pPr>
              <w:pStyle w:val="Normal1"/>
              <w:pBdr>
                <w:top w:val="nil"/>
                <w:left w:val="nil"/>
                <w:bottom w:val="nil"/>
                <w:right w:val="nil"/>
                <w:between w:val="nil"/>
              </w:pBdr>
              <w:jc w:val="both"/>
              <w:rPr>
                <w:rFonts w:ascii="Calibri" w:eastAsia="Calibri" w:hAnsi="Calibri" w:cs="Calibri"/>
                <w:color w:val="000000"/>
              </w:rPr>
            </w:pPr>
          </w:p>
        </w:tc>
        <w:tc>
          <w:tcPr>
            <w:tcW w:w="1960" w:type="dxa"/>
          </w:tcPr>
          <w:p w:rsidR="009D1858" w:rsidRDefault="009D1858" w:rsidP="00ED07C2">
            <w:pPr>
              <w:pStyle w:val="Normal1"/>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rPr>
              <w:t>Φ.Π.Α. 24%:</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14.400,00 €</w:t>
            </w:r>
          </w:p>
        </w:tc>
      </w:tr>
      <w:tr w:rsidR="009D1858" w:rsidTr="00ED07C2">
        <w:trPr>
          <w:trHeight w:val="300"/>
          <w:jc w:val="center"/>
        </w:trPr>
        <w:tc>
          <w:tcPr>
            <w:tcW w:w="595"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p>
        </w:tc>
        <w:tc>
          <w:tcPr>
            <w:tcW w:w="3240"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rPr>
            </w:pPr>
          </w:p>
        </w:tc>
        <w:tc>
          <w:tcPr>
            <w:tcW w:w="1482" w:type="dxa"/>
          </w:tcPr>
          <w:p w:rsidR="009D1858" w:rsidRDefault="009D1858" w:rsidP="00ED07C2">
            <w:pPr>
              <w:pStyle w:val="Normal1"/>
              <w:pBdr>
                <w:top w:val="nil"/>
                <w:left w:val="nil"/>
                <w:bottom w:val="nil"/>
                <w:right w:val="nil"/>
                <w:between w:val="nil"/>
              </w:pBdr>
              <w:jc w:val="both"/>
              <w:rPr>
                <w:rFonts w:ascii="Calibri" w:eastAsia="Calibri" w:hAnsi="Calibri" w:cs="Calibri"/>
                <w:color w:val="000000"/>
              </w:rPr>
            </w:pPr>
          </w:p>
        </w:tc>
        <w:tc>
          <w:tcPr>
            <w:tcW w:w="1497" w:type="dxa"/>
          </w:tcPr>
          <w:p w:rsidR="009D1858" w:rsidRDefault="009D1858" w:rsidP="00ED07C2">
            <w:pPr>
              <w:pStyle w:val="Normal1"/>
              <w:pBdr>
                <w:top w:val="nil"/>
                <w:left w:val="nil"/>
                <w:bottom w:val="nil"/>
                <w:right w:val="nil"/>
                <w:between w:val="nil"/>
              </w:pBdr>
              <w:jc w:val="both"/>
              <w:rPr>
                <w:rFonts w:ascii="Calibri" w:eastAsia="Calibri" w:hAnsi="Calibri" w:cs="Calibri"/>
                <w:color w:val="000000"/>
              </w:rPr>
            </w:pPr>
          </w:p>
        </w:tc>
        <w:tc>
          <w:tcPr>
            <w:tcW w:w="1960" w:type="dxa"/>
          </w:tcPr>
          <w:p w:rsidR="009D1858" w:rsidRDefault="009D1858" w:rsidP="00ED07C2">
            <w:pPr>
              <w:pStyle w:val="Normal1"/>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rPr>
              <w:t>ΓΕΝΙΚΟ ΣΥΝΟΛΟ:</w:t>
            </w:r>
          </w:p>
        </w:tc>
        <w:tc>
          <w:tcPr>
            <w:tcW w:w="1432" w:type="dxa"/>
            <w:vAlign w:val="center"/>
          </w:tcPr>
          <w:p w:rsidR="009D1858" w:rsidRDefault="009D1858" w:rsidP="00ED07C2">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74.400,00 €</w:t>
            </w:r>
          </w:p>
        </w:tc>
      </w:tr>
    </w:tbl>
    <w:p w:rsidR="009D1858" w:rsidRDefault="009D1858" w:rsidP="009D1858">
      <w:pPr>
        <w:pStyle w:val="Normal1"/>
        <w:pBdr>
          <w:top w:val="nil"/>
          <w:left w:val="nil"/>
          <w:bottom w:val="nil"/>
          <w:right w:val="nil"/>
          <w:between w:val="nil"/>
        </w:pBdr>
        <w:spacing w:after="120"/>
        <w:ind w:left="-709" w:right="-710"/>
        <w:jc w:val="both"/>
        <w:rPr>
          <w:rFonts w:ascii="Calibri" w:eastAsia="Calibri" w:hAnsi="Calibri" w:cs="Calibri"/>
          <w:b/>
          <w:color w:val="000000"/>
          <w:sz w:val="22"/>
          <w:szCs w:val="22"/>
        </w:rPr>
      </w:pPr>
    </w:p>
    <w:p w:rsidR="009D1858" w:rsidRDefault="009D1858" w:rsidP="009D1858">
      <w:pPr>
        <w:pStyle w:val="Normal1"/>
        <w:pBdr>
          <w:top w:val="nil"/>
          <w:left w:val="nil"/>
          <w:bottom w:val="nil"/>
          <w:right w:val="nil"/>
          <w:between w:val="nil"/>
        </w:pBdr>
        <w:spacing w:after="120"/>
        <w:ind w:left="-709" w:right="-710"/>
        <w:jc w:val="both"/>
        <w:rPr>
          <w:rFonts w:ascii="Calibri" w:eastAsia="Calibri" w:hAnsi="Calibri" w:cs="Calibri"/>
          <w:b/>
          <w:color w:val="000000"/>
          <w:sz w:val="22"/>
          <w:szCs w:val="22"/>
        </w:rPr>
      </w:pPr>
    </w:p>
    <w:p w:rsidR="009D1858" w:rsidRPr="00B20E08" w:rsidRDefault="009D1858" w:rsidP="009D1858">
      <w:pPr>
        <w:pStyle w:val="Normal1"/>
        <w:pBdr>
          <w:top w:val="nil"/>
          <w:left w:val="nil"/>
          <w:bottom w:val="nil"/>
          <w:right w:val="nil"/>
          <w:between w:val="nil"/>
        </w:pBdr>
        <w:spacing w:after="120"/>
        <w:ind w:left="-709" w:right="-710"/>
        <w:jc w:val="both"/>
        <w:rPr>
          <w:rFonts w:ascii="Calibri" w:eastAsia="Calibri" w:hAnsi="Calibri" w:cs="Calibri"/>
          <w:color w:val="000000"/>
          <w:sz w:val="22"/>
          <w:szCs w:val="22"/>
        </w:rPr>
      </w:pPr>
      <w:r>
        <w:rPr>
          <w:rFonts w:ascii="Calibri" w:eastAsia="Calibri" w:hAnsi="Calibri" w:cs="Calibri"/>
          <w:b/>
          <w:color w:val="000000"/>
          <w:sz w:val="22"/>
          <w:szCs w:val="22"/>
        </w:rPr>
        <w:t>ΣΗΜΕΙΩΣΗ:</w:t>
      </w:r>
      <w:r>
        <w:rPr>
          <w:rFonts w:ascii="Calibri" w:eastAsia="Calibri" w:hAnsi="Calibri" w:cs="Calibri"/>
          <w:color w:val="000000"/>
          <w:sz w:val="22"/>
          <w:szCs w:val="22"/>
        </w:rPr>
        <w:t xml:space="preserve"> Οι παραπάνω ποσότητες των ειδών είναι ενδεικτικές. Θα μπορούν να αυξομειωθούν ανάλογα με τις ανάγκες της Υπηρεσίας που θα χειριστεί τα προς προμήθεια είδη-υλικά, κατόπιν σχετικής ειδοποίησης. Οι τυχόν αλλαγές δεν θα υπερβαίνουν το ποσό της δαπάνης της σύμβαση</w:t>
      </w:r>
    </w:p>
    <w:p w:rsidR="006530D5" w:rsidRDefault="006530D5">
      <w:bookmarkStart w:id="2" w:name="_GoBack"/>
      <w:bookmarkEnd w:id="2"/>
    </w:p>
    <w:sectPr w:rsidR="00653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58"/>
    <w:rsid w:val="006530D5"/>
    <w:rsid w:val="009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58"/>
    <w:pPr>
      <w:spacing w:after="0" w:line="240" w:lineRule="auto"/>
    </w:pPr>
    <w:rPr>
      <w:rFonts w:ascii="Times New Roman" w:eastAsia="Times New Roman" w:hAnsi="Times New Roman" w:cs="Times New Roman"/>
      <w:sz w:val="20"/>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D1858"/>
    <w:pPr>
      <w:spacing w:after="0" w:line="240" w:lineRule="auto"/>
    </w:pPr>
    <w:rPr>
      <w:rFonts w:ascii="Times New Roman" w:eastAsia="Times New Roman" w:hAnsi="Times New Roman" w:cs="Times New Roman"/>
      <w:sz w:val="20"/>
      <w:szCs w:val="20"/>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58"/>
    <w:pPr>
      <w:spacing w:after="0" w:line="240" w:lineRule="auto"/>
    </w:pPr>
    <w:rPr>
      <w:rFonts w:ascii="Times New Roman" w:eastAsia="Times New Roman" w:hAnsi="Times New Roman" w:cs="Times New Roman"/>
      <w:sz w:val="20"/>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D1858"/>
    <w:pPr>
      <w:spacing w:after="0" w:line="240" w:lineRule="auto"/>
    </w:pPr>
    <w:rPr>
      <w:rFonts w:ascii="Times New Roman" w:eastAsia="Times New Roman" w:hAnsi="Times New Roman" w:cs="Times New Roman"/>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cp:lastModifiedBy>
  <cp:revision>1</cp:revision>
  <dcterms:created xsi:type="dcterms:W3CDTF">2020-12-23T07:45:00Z</dcterms:created>
  <dcterms:modified xsi:type="dcterms:W3CDTF">2020-12-23T07:47:00Z</dcterms:modified>
</cp:coreProperties>
</file>